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810047">
        <w:trPr>
          <w:trHeight w:hRule="exact" w:val="170"/>
        </w:trPr>
        <w:tc>
          <w:tcPr>
            <w:tcW w:w="9356" w:type="dxa"/>
            <w:shd w:val="clear" w:color="auto" w:fill="auto"/>
          </w:tcPr>
          <w:p w:rsidR="00810047" w:rsidRDefault="00810047">
            <w:pPr>
              <w:pStyle w:val="Betreff"/>
            </w:pPr>
          </w:p>
        </w:tc>
      </w:tr>
      <w:tr w:rsidR="00810047">
        <w:trPr>
          <w:trHeight w:hRule="exact" w:val="232"/>
        </w:trPr>
        <w:tc>
          <w:tcPr>
            <w:tcW w:w="9356" w:type="dxa"/>
            <w:shd w:val="clear" w:color="auto" w:fill="auto"/>
            <w:vAlign w:val="bottom"/>
          </w:tcPr>
          <w:p w:rsidR="00810047" w:rsidRDefault="00810047"/>
          <w:p w:rsidR="00810047" w:rsidRDefault="00810047"/>
        </w:tc>
      </w:tr>
      <w:tr w:rsidR="00810047">
        <w:trPr>
          <w:trHeight w:hRule="exact" w:val="272"/>
        </w:trPr>
        <w:tc>
          <w:tcPr>
            <w:tcW w:w="9356" w:type="dxa"/>
            <w:shd w:val="clear" w:color="auto" w:fill="auto"/>
            <w:vAlign w:val="bottom"/>
          </w:tcPr>
          <w:p w:rsidR="00810047" w:rsidRDefault="00810047"/>
        </w:tc>
      </w:tr>
      <w:tr w:rsidR="00810047">
        <w:trPr>
          <w:trHeight w:hRule="exact" w:val="272"/>
        </w:trPr>
        <w:tc>
          <w:tcPr>
            <w:tcW w:w="9356" w:type="dxa"/>
            <w:shd w:val="clear" w:color="auto" w:fill="auto"/>
            <w:vAlign w:val="bottom"/>
          </w:tcPr>
          <w:p w:rsidR="00810047" w:rsidRDefault="00810047"/>
          <w:p w:rsidR="00810047" w:rsidRDefault="00810047"/>
          <w:p w:rsidR="00810047" w:rsidRDefault="00810047"/>
          <w:p w:rsidR="00810047" w:rsidRDefault="00810047"/>
          <w:p w:rsidR="00810047" w:rsidRDefault="00810047"/>
        </w:tc>
      </w:tr>
    </w:tbl>
    <w:p w:rsidR="00810047" w:rsidRDefault="00F57E73">
      <w:pPr>
        <w:pBdr>
          <w:top w:val="single" w:sz="6" w:space="15" w:color="auto"/>
          <w:left w:val="single" w:sz="6" w:space="1" w:color="auto"/>
          <w:bottom w:val="single" w:sz="6" w:space="1" w:color="auto"/>
          <w:right w:val="single" w:sz="6" w:space="12" w:color="auto"/>
        </w:pBdr>
        <w:shd w:val="pct5" w:color="auto" w:fill="auto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Bekanntgabe über die öffentliche Auslegung gemäß § 3 Abs. 2 und § 4 Abs. 2 Baugeset</w:t>
      </w:r>
      <w:r>
        <w:rPr>
          <w:b/>
          <w:bCs/>
          <w:i/>
          <w:sz w:val="22"/>
          <w:szCs w:val="22"/>
        </w:rPr>
        <w:t>z</w:t>
      </w:r>
      <w:r>
        <w:rPr>
          <w:b/>
          <w:bCs/>
          <w:i/>
          <w:sz w:val="22"/>
          <w:szCs w:val="22"/>
        </w:rPr>
        <w:t xml:space="preserve">buch (BauGB) </w:t>
      </w:r>
      <w:r>
        <w:rPr>
          <w:b/>
          <w:i/>
          <w:sz w:val="22"/>
          <w:szCs w:val="22"/>
        </w:rPr>
        <w:t xml:space="preserve"> zur 47. Änderung des Flächennutzungsplanes „neuer Standort Umspan</w:t>
      </w:r>
      <w:r>
        <w:rPr>
          <w:b/>
          <w:i/>
          <w:sz w:val="22"/>
          <w:szCs w:val="22"/>
        </w:rPr>
        <w:t>n</w:t>
      </w:r>
      <w:r>
        <w:rPr>
          <w:b/>
          <w:i/>
          <w:sz w:val="22"/>
          <w:szCs w:val="22"/>
        </w:rPr>
        <w:t xml:space="preserve">station nördlich der Autobahn </w:t>
      </w:r>
      <w:r w:rsidR="00DC1326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92“</w:t>
      </w:r>
    </w:p>
    <w:p w:rsidR="00810047" w:rsidRDefault="00810047">
      <w:pPr>
        <w:jc w:val="both"/>
        <w:rPr>
          <w:sz w:val="22"/>
          <w:szCs w:val="22"/>
        </w:rPr>
      </w:pPr>
    </w:p>
    <w:p w:rsidR="00810047" w:rsidRDefault="00F57E7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Der Stadtrat hat in seiner Sitzung am 12.11.2018 die öffentliche Auslegung zur 47. Ä</w:t>
      </w:r>
      <w:r>
        <w:rPr>
          <w:sz w:val="24"/>
          <w:szCs w:val="24"/>
        </w:rPr>
        <w:t>n</w:t>
      </w:r>
      <w:r>
        <w:rPr>
          <w:sz w:val="24"/>
          <w:szCs w:val="24"/>
        </w:rPr>
        <w:t>derung des Flächennutzungsplanes „neuer Standort Umspannstation nördlich der Aut</w:t>
      </w:r>
      <w:r>
        <w:rPr>
          <w:sz w:val="24"/>
          <w:szCs w:val="24"/>
        </w:rPr>
        <w:t>o</w:t>
      </w:r>
      <w:r>
        <w:rPr>
          <w:sz w:val="24"/>
          <w:szCs w:val="24"/>
        </w:rPr>
        <w:t>bahn 92“ beschlossen (Umgriff ist im Lageplan rot umrandet dargestellt).</w:t>
      </w:r>
    </w:p>
    <w:p w:rsidR="00810047" w:rsidRDefault="00810047">
      <w:pPr>
        <w:spacing w:line="288" w:lineRule="auto"/>
        <w:jc w:val="both"/>
        <w:rPr>
          <w:sz w:val="24"/>
          <w:szCs w:val="24"/>
        </w:rPr>
      </w:pPr>
    </w:p>
    <w:p w:rsidR="00810047" w:rsidRDefault="00F57E73">
      <w:pPr>
        <w:jc w:val="both"/>
        <w:rPr>
          <w:sz w:val="24"/>
          <w:szCs w:val="24"/>
        </w:rPr>
      </w:pPr>
      <w:r>
        <w:rPr>
          <w:sz w:val="24"/>
          <w:szCs w:val="24"/>
        </w:rPr>
        <w:t>Die Planunterlagen mit Begründung der Planungsziele, der Umweltbericht, die Schal</w:t>
      </w:r>
      <w:r>
        <w:rPr>
          <w:sz w:val="24"/>
          <w:szCs w:val="24"/>
        </w:rPr>
        <w:t>l</w:t>
      </w:r>
      <w:r>
        <w:rPr>
          <w:sz w:val="24"/>
          <w:szCs w:val="24"/>
        </w:rPr>
        <w:t>technische Untersuchung, der Bestandsplan und die spezielle artenschutzrechtliche Prüfung liegen  zwischen dem</w:t>
      </w:r>
    </w:p>
    <w:p w:rsidR="00810047" w:rsidRDefault="00810047">
      <w:pPr>
        <w:spacing w:line="288" w:lineRule="auto"/>
        <w:rPr>
          <w:sz w:val="24"/>
          <w:szCs w:val="24"/>
        </w:rPr>
      </w:pPr>
    </w:p>
    <w:p w:rsidR="00810047" w:rsidRDefault="00F57E73">
      <w:pPr>
        <w:shd w:val="pct5" w:color="auto" w:fill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19. September 2019 und dem 24. Oktober 2019</w:t>
      </w:r>
    </w:p>
    <w:p w:rsidR="00810047" w:rsidRDefault="00810047">
      <w:pPr>
        <w:spacing w:line="288" w:lineRule="auto"/>
        <w:rPr>
          <w:sz w:val="24"/>
          <w:szCs w:val="24"/>
        </w:rPr>
      </w:pPr>
    </w:p>
    <w:p w:rsidR="00810047" w:rsidRDefault="00F57E7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im Bürogebäude Valerystraße 1, I. OG, 85716 Unterschleißheim, während der allgeme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nen Öffnungszeiten aus.  Ein Mitarbeiter der Bauverwaltung steht zu Auskünften wä</w:t>
      </w:r>
      <w:r>
        <w:rPr>
          <w:sz w:val="24"/>
          <w:szCs w:val="24"/>
        </w:rPr>
        <w:t>h</w:t>
      </w:r>
      <w:r>
        <w:rPr>
          <w:sz w:val="24"/>
          <w:szCs w:val="24"/>
        </w:rPr>
        <w:t>rend der allgemeinen Dienststunden zur Verfügung. Während dieser Auslegungsfrist können Stellungnahmen und Anregungen schriftlich oder zur Niederschrift abgegeben werden. Nicht fristgerecht eingereichte Stellungnahmen können bei der Beschlussfa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sung über den Plan unberücksichtigt bleiben. </w:t>
      </w:r>
    </w:p>
    <w:p w:rsidR="00810047" w:rsidRDefault="00F57E73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Diese Unterlagen können auch im Internet auf der Homepage der Stadt Unterschlei</w:t>
      </w:r>
      <w:r>
        <w:rPr>
          <w:sz w:val="24"/>
          <w:szCs w:val="24"/>
        </w:rPr>
        <w:t>ß</w:t>
      </w:r>
      <w:r>
        <w:rPr>
          <w:sz w:val="24"/>
          <w:szCs w:val="24"/>
        </w:rPr>
        <w:t>heim unter</w:t>
      </w:r>
      <w:r w:rsidR="00DC1326">
        <w:rPr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t>www.unterschleissheim.de</w:t>
      </w:r>
      <w:r>
        <w:rPr>
          <w:sz w:val="24"/>
          <w:szCs w:val="24"/>
        </w:rPr>
        <w:t xml:space="preserve">  in der Rubrik Flächennutzungsplan – aktuelle Änderung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verfahren eingesehen werden. Auf die Richtlinie zum Datenschutz der Stadt Unterschleißheim </w:t>
      </w:r>
      <w:hyperlink r:id="rId9" w:history="1">
        <w:r>
          <w:rPr>
            <w:rStyle w:val="Hyperlink"/>
            <w:sz w:val="24"/>
            <w:szCs w:val="24"/>
          </w:rPr>
          <w:t>www.unterschleissheim.de</w:t>
        </w:r>
      </w:hyperlink>
      <w:r>
        <w:rPr>
          <w:sz w:val="24"/>
          <w:szCs w:val="24"/>
        </w:rPr>
        <w:t xml:space="preserve"> hinsichtlich der Verarbeitung personenb</w:t>
      </w:r>
      <w:r>
        <w:rPr>
          <w:sz w:val="24"/>
          <w:szCs w:val="24"/>
        </w:rPr>
        <w:t>e</w:t>
      </w:r>
      <w:r>
        <w:rPr>
          <w:sz w:val="24"/>
          <w:szCs w:val="24"/>
        </w:rPr>
        <w:t>zogener Daten wird verwiesen.</w:t>
      </w:r>
    </w:p>
    <w:p w:rsidR="00810047" w:rsidRDefault="00810047">
      <w:pPr>
        <w:spacing w:line="288" w:lineRule="auto"/>
        <w:rPr>
          <w:sz w:val="16"/>
          <w:szCs w:val="16"/>
        </w:rPr>
      </w:pPr>
    </w:p>
    <w:p w:rsidR="00810047" w:rsidRDefault="00F57E73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t xml:space="preserve">1. Es liegen folgende Arten von umweltbezogenen Informationen mit aus: </w:t>
      </w:r>
      <w:r>
        <w:rPr>
          <w:color w:val="auto"/>
          <w:sz w:val="22"/>
          <w:szCs w:val="22"/>
        </w:rPr>
        <w:br/>
        <w:t xml:space="preserve">- Eine Schalltechnische Untersuchung für das Gebiet des </w:t>
      </w:r>
      <w:proofErr w:type="spellStart"/>
      <w:r>
        <w:rPr>
          <w:color w:val="auto"/>
          <w:sz w:val="22"/>
          <w:szCs w:val="22"/>
        </w:rPr>
        <w:t>Planungsumgriffs</w:t>
      </w:r>
      <w:proofErr w:type="spellEnd"/>
      <w:r>
        <w:rPr>
          <w:color w:val="auto"/>
          <w:sz w:val="22"/>
          <w:szCs w:val="22"/>
        </w:rPr>
        <w:t xml:space="preserve"> in der Fassung vom</w:t>
      </w: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22.01.2019</w:t>
      </w:r>
    </w:p>
    <w:p w:rsidR="00810047" w:rsidRDefault="00F57E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Für die Behandlung der Ausgleichsflächen gemäß § 1 a Baugesetzbuch wird auf das Au</w:t>
      </w:r>
      <w:r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gleichsflächenkonzept der Stadt Unterschleißheim Bezug genommen.</w:t>
      </w:r>
    </w:p>
    <w:p w:rsidR="00810047" w:rsidRDefault="00F57E73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- Der Umweltbericht in der Fassung vom</w:t>
      </w:r>
      <w:r>
        <w:rPr>
          <w:color w:val="FF0000"/>
          <w:sz w:val="22"/>
          <w:szCs w:val="22"/>
        </w:rPr>
        <w:t xml:space="preserve"> </w:t>
      </w:r>
      <w:r w:rsidR="00DC1326">
        <w:rPr>
          <w:color w:val="auto"/>
          <w:sz w:val="22"/>
          <w:szCs w:val="22"/>
        </w:rPr>
        <w:t>31.07.2019</w:t>
      </w:r>
      <w:r>
        <w:rPr>
          <w:color w:val="auto"/>
          <w:sz w:val="22"/>
          <w:szCs w:val="22"/>
        </w:rPr>
        <w:br/>
        <w:t>- Die spezielle Artenschutzrechtliche Prüfung vom 31.07.2019</w:t>
      </w: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br/>
        <w:t>Folgende Informationen zu den Schutzgütern der Umwelt liegen dabei vor: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Lärm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Da sich der vorgesehene Standort nahe der Autobahn A92 befindet und diese einen höheren Lärmpegel verursacht als die Umspannstation, ist mit keiner spürbaren weiteren Lärmbeläst</w:t>
      </w:r>
      <w:r>
        <w:rPr>
          <w:sz w:val="22"/>
          <w:szCs w:val="22"/>
        </w:rPr>
        <w:t>i</w:t>
      </w:r>
      <w:r>
        <w:rPr>
          <w:sz w:val="22"/>
          <w:szCs w:val="22"/>
        </w:rPr>
        <w:t>gung zu rechnen.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Elektrische / magnetische Felder</w:t>
      </w: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>Gemäß den Angaben der Betreiber werden die Grenzwerte für die Feldwerte des Werkes ei</w:t>
      </w:r>
      <w:r>
        <w:rPr>
          <w:sz w:val="22"/>
          <w:szCs w:val="22"/>
        </w:rPr>
        <w:t>n</w:t>
      </w:r>
      <w:r>
        <w:rPr>
          <w:sz w:val="22"/>
          <w:szCs w:val="22"/>
        </w:rPr>
        <w:t>gehalten. Ein entsprechender Nachweis hierfür ist im Laufe des Genehmigungsverfahrens zu führen. Bei Neuinbetriebnahme der Anlage wird diese zudem einer fachlichen Prüfung unterz</w:t>
      </w:r>
      <w:r>
        <w:rPr>
          <w:sz w:val="22"/>
          <w:szCs w:val="22"/>
        </w:rPr>
        <w:t>o</w:t>
      </w:r>
      <w:r>
        <w:rPr>
          <w:sz w:val="22"/>
          <w:szCs w:val="22"/>
        </w:rPr>
        <w:t>gen. Deshalb gibt es keine Bedenken zu negativen Auswirkungen.</w:t>
      </w:r>
    </w:p>
    <w:p w:rsidR="00810047" w:rsidRDefault="00810047">
      <w:pPr>
        <w:rPr>
          <w:sz w:val="22"/>
          <w:szCs w:val="22"/>
        </w:rPr>
      </w:pP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Erholung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Das Erholungsgebiet „Unterschleißheimer See“ wird allenfalls während der Bauphase durch </w:t>
      </w: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>Lärm und Staub beeinträchtigt. Langfristig verbessert sich die Möglichkeit zur Erholung am U</w:t>
      </w:r>
      <w:r>
        <w:rPr>
          <w:sz w:val="22"/>
          <w:szCs w:val="22"/>
        </w:rPr>
        <w:t>n</w:t>
      </w:r>
      <w:r>
        <w:rPr>
          <w:sz w:val="22"/>
          <w:szCs w:val="22"/>
        </w:rPr>
        <w:t>terschleißheimer See, da durch den Umbau des Umspannwerkes dessen Strommasten versetzt werden und diese nicht mehr über die Liegewiese des Sees gespannt werden müssen.</w:t>
      </w:r>
    </w:p>
    <w:p w:rsidR="00810047" w:rsidRDefault="00810047">
      <w:pPr>
        <w:rPr>
          <w:sz w:val="22"/>
          <w:szCs w:val="22"/>
        </w:rPr>
      </w:pP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Flächenverlust / Beseitigung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Mit der Umsetzung der Planung werden Flächen mi</w:t>
      </w:r>
      <w:r w:rsidR="00DC1326">
        <w:rPr>
          <w:sz w:val="22"/>
          <w:szCs w:val="22"/>
        </w:rPr>
        <w:t>t geringer naturschutzfachlicher</w:t>
      </w:r>
      <w:r>
        <w:rPr>
          <w:sz w:val="22"/>
          <w:szCs w:val="22"/>
        </w:rPr>
        <w:t xml:space="preserve"> Bedeutung überbaut bzw. versiegelt. Die Neuversiegelung kann hierbei auf das unbedingt notwendige U</w:t>
      </w:r>
      <w:r>
        <w:rPr>
          <w:sz w:val="22"/>
          <w:szCs w:val="22"/>
        </w:rPr>
        <w:t>m</w:t>
      </w:r>
      <w:r>
        <w:rPr>
          <w:sz w:val="22"/>
          <w:szCs w:val="22"/>
        </w:rPr>
        <w:t>feld beschränkt werden, sodass der Großteil der Fläche als Wiesen- und Rasenstandort ve</w:t>
      </w:r>
      <w:r>
        <w:rPr>
          <w:sz w:val="22"/>
          <w:szCs w:val="22"/>
        </w:rPr>
        <w:t>r</w:t>
      </w:r>
      <w:r>
        <w:rPr>
          <w:sz w:val="22"/>
          <w:szCs w:val="22"/>
        </w:rPr>
        <w:t>bleibt.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Arten und Biotopschutz und Biodiversität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Bei dem Vorhaben gehen keine naturschutzfachlich hochwertigen Lebensräume verloren. Es sind auch keine europarechtlich geschützte Tier-/ Pflanzen-/ oder Vogelarten betroffen.</w:t>
      </w:r>
      <w:r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Boden, Wasser, Klima/Luft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Durch die Umsetzung des Vorhabens kommt es in Folge von Versiegelung und Überbauung kleinflächig zum Verlust bzw. zur Einschränkung der lokalen Schutzgutfunktionen (Lebensrau</w:t>
      </w:r>
      <w:r>
        <w:rPr>
          <w:sz w:val="22"/>
          <w:szCs w:val="22"/>
        </w:rPr>
        <w:t>m</w:t>
      </w:r>
      <w:r>
        <w:rPr>
          <w:sz w:val="22"/>
          <w:szCs w:val="22"/>
        </w:rPr>
        <w:t>bedingungen für Fauna und Flora, Grundwasserneubildung, Wasserrückhaltung). Demgege</w:t>
      </w:r>
      <w:r>
        <w:rPr>
          <w:sz w:val="22"/>
          <w:szCs w:val="22"/>
        </w:rPr>
        <w:t>n</w:t>
      </w:r>
      <w:r>
        <w:rPr>
          <w:sz w:val="22"/>
          <w:szCs w:val="22"/>
        </w:rPr>
        <w:t>über können sich auf den Freiflächen nach Fertigstellung der Bodenmodellierung die Bode</w:t>
      </w:r>
      <w:r>
        <w:rPr>
          <w:sz w:val="22"/>
          <w:szCs w:val="22"/>
        </w:rPr>
        <w:t>n</w:t>
      </w:r>
      <w:r>
        <w:rPr>
          <w:sz w:val="22"/>
          <w:szCs w:val="22"/>
        </w:rPr>
        <w:t>funktionen wieder regenerieren.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Landschaft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Das Landschaftsbild wird umgestaltet. Durch Eingrünungsmaßnahmen wird eine Kompensation erreicht.   </w:t>
      </w:r>
    </w:p>
    <w:p w:rsidR="00810047" w:rsidRDefault="00810047">
      <w:pPr>
        <w:rPr>
          <w:sz w:val="22"/>
          <w:szCs w:val="22"/>
        </w:rPr>
      </w:pPr>
    </w:p>
    <w:p w:rsidR="00810047" w:rsidRDefault="00F57E7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Kulturgüter</w:t>
      </w: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 xml:space="preserve">Bodendenkmäler liegen nicht vor. </w:t>
      </w:r>
      <w:r>
        <w:rPr>
          <w:sz w:val="22"/>
          <w:szCs w:val="22"/>
        </w:rPr>
        <w:br/>
        <w:t>Eventuell zu Tage tretende Bodendenkmäler unterliegen der Meldepflicht an das bayerische Landesamt für Denkmalpflege oder die untere Denkmalschutzbehörde.</w:t>
      </w:r>
    </w:p>
    <w:p w:rsidR="00810047" w:rsidRDefault="00810047">
      <w:pPr>
        <w:rPr>
          <w:sz w:val="22"/>
          <w:szCs w:val="22"/>
        </w:rPr>
      </w:pP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Landwirtschaft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Es gehen 3,9 ha Ackerland verloren. Die 1,4 ha, die für das Umspannwerk benötigt werden, werden komplett in Anspruch genommen; die restlichen 2,5 ha für die geplante Photovoltaik-Anlage können landwirtschaftlich als Grünlandstandort zur Beweidung oder Mahd genutzt we</w:t>
      </w:r>
      <w:r>
        <w:rPr>
          <w:sz w:val="22"/>
          <w:szCs w:val="22"/>
        </w:rPr>
        <w:t>r</w:t>
      </w:r>
      <w:r>
        <w:rPr>
          <w:sz w:val="22"/>
          <w:szCs w:val="22"/>
        </w:rPr>
        <w:t>den.</w:t>
      </w: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Infrastruktur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Da bestehende Fuß- und Radwege erhalten bleiben sind keine negative Auswirkungen auf die</w:t>
      </w:r>
      <w:r>
        <w:rPr>
          <w:sz w:val="22"/>
          <w:szCs w:val="22"/>
        </w:rPr>
        <w:br/>
        <w:t xml:space="preserve">Infrastruktur zu erwarten. Die Tieferlegung der Leitungen ab dem Umspannwerk verbessert die Infrastrukturausstattung (Sicherheit). </w:t>
      </w:r>
      <w:r>
        <w:rPr>
          <w:sz w:val="22"/>
          <w:szCs w:val="22"/>
        </w:rPr>
        <w:br/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Eine detailliertere Bewertung zur möglichen Beeinträchtigung der Schutzgüter kann im Umwel</w:t>
      </w:r>
      <w:r>
        <w:rPr>
          <w:sz w:val="22"/>
          <w:szCs w:val="22"/>
        </w:rPr>
        <w:t>t</w:t>
      </w:r>
      <w:r>
        <w:rPr>
          <w:sz w:val="22"/>
          <w:szCs w:val="22"/>
        </w:rPr>
        <w:t>bericht nachgelesen werden.</w:t>
      </w:r>
    </w:p>
    <w:p w:rsidR="00810047" w:rsidRDefault="00810047">
      <w:pPr>
        <w:rPr>
          <w:rFonts w:cs="Arial"/>
          <w:sz w:val="22"/>
          <w:szCs w:val="22"/>
        </w:rPr>
      </w:pPr>
    </w:p>
    <w:p w:rsidR="00810047" w:rsidRDefault="00810047">
      <w:pPr>
        <w:rPr>
          <w:sz w:val="22"/>
          <w:szCs w:val="22"/>
          <w:u w:val="single"/>
        </w:rPr>
      </w:pPr>
    </w:p>
    <w:p w:rsidR="00810047" w:rsidRDefault="00F57E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Umweltbezogene Stellungnahmen liegen mit aus:</w:t>
      </w:r>
    </w:p>
    <w:p w:rsidR="00810047" w:rsidRDefault="00F57E7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Stellungnahme des Landratsamtes München, Sachgebiet Naturschutz vom 25.10.2018 hin-</w:t>
      </w:r>
      <w:r>
        <w:rPr>
          <w:sz w:val="22"/>
          <w:szCs w:val="22"/>
        </w:rPr>
        <w:br/>
        <w:t>sichtlich der Aktualisierung der Brutvogelkartierung und der weiteren Einbindung in der Bila</w:t>
      </w:r>
      <w:r>
        <w:rPr>
          <w:sz w:val="22"/>
          <w:szCs w:val="22"/>
        </w:rPr>
        <w:t>n</w:t>
      </w:r>
      <w:r>
        <w:rPr>
          <w:sz w:val="22"/>
          <w:szCs w:val="22"/>
        </w:rPr>
        <w:t>zierung des Ausgleichsbedarfs und der artenschutzrechtlichen Beurteilung.</w:t>
      </w:r>
    </w:p>
    <w:p w:rsidR="00810047" w:rsidRDefault="00F57E7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Stellungnahme des Landratsamtes München, Sachgebiet Immissionsschutz vom 12.10.2018 hinsichtlich der Einhaltung der Immissionswerte für das naheliegende Erholungsgebiet (Unte</w:t>
      </w:r>
      <w:r>
        <w:rPr>
          <w:sz w:val="22"/>
          <w:szCs w:val="22"/>
        </w:rPr>
        <w:t>r</w:t>
      </w:r>
      <w:r>
        <w:rPr>
          <w:sz w:val="22"/>
          <w:szCs w:val="22"/>
        </w:rPr>
        <w:t>schleißheimer See).</w:t>
      </w:r>
    </w:p>
    <w:p w:rsidR="00810047" w:rsidRDefault="00F57E7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Stellungnahme des Amtes für Ernährung, Landwirtschaft und Forsten Ebersberg vom 10.10.2018 hinsichtlich der Angaben zu den Ausgleichsflächen und angemessenen Abstand</w:t>
      </w:r>
      <w:r>
        <w:rPr>
          <w:sz w:val="22"/>
          <w:szCs w:val="22"/>
        </w:rPr>
        <w:t>s</w:t>
      </w:r>
      <w:r>
        <w:rPr>
          <w:sz w:val="22"/>
          <w:szCs w:val="22"/>
        </w:rPr>
        <w:t>flächen zum Waldstück.</w:t>
      </w:r>
    </w:p>
    <w:p w:rsidR="00810047" w:rsidRDefault="00F57E7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Stellungnahme des Wasserwirtschaftsamtes vom 11.10.2018 hinsichtlich der Niederschlag</w:t>
      </w:r>
      <w:r>
        <w:rPr>
          <w:sz w:val="22"/>
          <w:szCs w:val="22"/>
        </w:rPr>
        <w:t>s</w:t>
      </w:r>
      <w:r>
        <w:rPr>
          <w:sz w:val="22"/>
          <w:szCs w:val="22"/>
        </w:rPr>
        <w:t>wasserbeseitigung und Starkregenereignisse.</w:t>
      </w:r>
    </w:p>
    <w:p w:rsidR="00810047" w:rsidRDefault="00810047">
      <w:pPr>
        <w:ind w:left="142" w:hanging="142"/>
        <w:jc w:val="both"/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F57E7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86360</wp:posOffset>
            </wp:positionV>
            <wp:extent cx="4100195" cy="3287395"/>
            <wp:effectExtent l="0" t="0" r="0" b="8255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047" w:rsidRDefault="00F57E73">
      <w:pPr>
        <w:rPr>
          <w:b/>
          <w:sz w:val="22"/>
          <w:szCs w:val="22"/>
        </w:rPr>
      </w:pPr>
      <w:r>
        <w:rPr>
          <w:sz w:val="22"/>
          <w:szCs w:val="22"/>
        </w:rPr>
        <w:t>Unterschleißheim, den 04.09.2019</w:t>
      </w:r>
    </w:p>
    <w:p w:rsidR="00810047" w:rsidRDefault="00810047">
      <w:pPr>
        <w:rPr>
          <w:b/>
        </w:rPr>
      </w:pPr>
    </w:p>
    <w:p w:rsidR="00810047" w:rsidRDefault="00810047">
      <w:pPr>
        <w:rPr>
          <w:b/>
        </w:rPr>
      </w:pPr>
    </w:p>
    <w:p w:rsidR="00810047" w:rsidRDefault="00810047">
      <w:pPr>
        <w:rPr>
          <w:b/>
        </w:rPr>
      </w:pPr>
    </w:p>
    <w:p w:rsidR="00810047" w:rsidRDefault="00810047">
      <w:pPr>
        <w:tabs>
          <w:tab w:val="clear" w:pos="1021"/>
          <w:tab w:val="clear" w:pos="1361"/>
          <w:tab w:val="left" w:pos="2580"/>
        </w:tabs>
        <w:rPr>
          <w:b/>
        </w:rPr>
      </w:pPr>
    </w:p>
    <w:p w:rsidR="00810047" w:rsidRDefault="00810047">
      <w:pPr>
        <w:tabs>
          <w:tab w:val="clear" w:pos="1021"/>
          <w:tab w:val="clear" w:pos="1361"/>
          <w:tab w:val="left" w:pos="2580"/>
        </w:tabs>
        <w:rPr>
          <w:b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810047">
      <w:pPr>
        <w:rPr>
          <w:sz w:val="22"/>
          <w:szCs w:val="22"/>
        </w:rPr>
      </w:pP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>Christoph Böck</w:t>
      </w:r>
    </w:p>
    <w:p w:rsidR="00810047" w:rsidRDefault="00F57E73">
      <w:pPr>
        <w:rPr>
          <w:sz w:val="22"/>
          <w:szCs w:val="22"/>
        </w:rPr>
      </w:pPr>
      <w:r>
        <w:rPr>
          <w:sz w:val="22"/>
          <w:szCs w:val="22"/>
        </w:rPr>
        <w:t xml:space="preserve">Erster Bürgermeister </w:t>
      </w:r>
    </w:p>
    <w:p w:rsidR="00810047" w:rsidRDefault="00810047">
      <w:pPr>
        <w:rPr>
          <w:b/>
        </w:rPr>
      </w:pPr>
    </w:p>
    <w:p w:rsidR="00810047" w:rsidRDefault="00810047">
      <w:pPr>
        <w:rPr>
          <w:b/>
        </w:rPr>
      </w:pPr>
    </w:p>
    <w:p w:rsidR="00810047" w:rsidRDefault="00810047">
      <w:pPr>
        <w:rPr>
          <w:b/>
        </w:rPr>
      </w:pPr>
    </w:p>
    <w:p w:rsidR="00C43C53" w:rsidRDefault="00C43C53">
      <w:pPr>
        <w:rPr>
          <w:b/>
        </w:rPr>
      </w:pPr>
    </w:p>
    <w:p w:rsidR="00C43C53" w:rsidRDefault="00C43C53">
      <w:pPr>
        <w:rPr>
          <w:b/>
        </w:rPr>
      </w:pPr>
    </w:p>
    <w:p w:rsidR="00C43C53" w:rsidRDefault="00C43C53">
      <w:pPr>
        <w:rPr>
          <w:b/>
        </w:rPr>
      </w:pPr>
    </w:p>
    <w:p w:rsidR="00C43C53" w:rsidRDefault="00C43C53">
      <w:pPr>
        <w:rPr>
          <w:b/>
        </w:rPr>
      </w:pPr>
    </w:p>
    <w:p w:rsidR="00810047" w:rsidRDefault="00F57E73">
      <w:pPr>
        <w:rPr>
          <w:b/>
        </w:rPr>
      </w:pPr>
      <w:r>
        <w:rPr>
          <w:b/>
        </w:rPr>
        <w:tab/>
        <w:t xml:space="preserve">                                 </w:t>
      </w:r>
    </w:p>
    <w:p w:rsidR="00810047" w:rsidRDefault="00810047">
      <w:pPr>
        <w:rPr>
          <w:b/>
        </w:rPr>
      </w:pPr>
    </w:p>
    <w:p w:rsidR="00810047" w:rsidRDefault="00810047">
      <w:pPr>
        <w:rPr>
          <w:b/>
        </w:rPr>
      </w:pPr>
    </w:p>
    <w:p w:rsidR="00810047" w:rsidRDefault="00F57E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22225</wp:posOffset>
                </wp:positionV>
                <wp:extent cx="850900" cy="405765"/>
                <wp:effectExtent l="0" t="0" r="25400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8.45pt;margin-top:1.75pt;width:67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" strokecolor="red" strokeweight="1.5pt"/>
            </w:pict>
          </mc:Fallback>
        </mc:AlternateContent>
      </w:r>
    </w:p>
    <w:p w:rsidR="00810047" w:rsidRDefault="00F57E73">
      <w:pPr>
        <w:rPr>
          <w:b/>
        </w:rPr>
      </w:pPr>
      <w:r>
        <w:rPr>
          <w:b/>
        </w:rPr>
        <w:tab/>
        <w:t>Lageübersicht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sectPr w:rsidR="008100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1837" w:right="1133" w:bottom="1134" w:left="136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47" w:rsidRDefault="00F57E73">
      <w:r>
        <w:separator/>
      </w:r>
    </w:p>
  </w:endnote>
  <w:endnote w:type="continuationSeparator" w:id="0">
    <w:p w:rsidR="00810047" w:rsidRDefault="00F5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7" w:rsidRDefault="00F57E7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C1326">
      <w:rPr>
        <w:noProof/>
      </w:rPr>
      <w:t>3</w:t>
    </w:r>
    <w:r>
      <w:fldChar w:fldCharType="end"/>
    </w:r>
  </w:p>
  <w:p w:rsidR="00810047" w:rsidRDefault="00810047">
    <w:pPr>
      <w:pStyle w:val="FusszeileArial7Pt"/>
      <w:ind w:left="5100" w:firstLine="1020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7" w:rsidRDefault="00F57E7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C1326">
      <w:rPr>
        <w:noProof/>
      </w:rPr>
      <w:t>1</w:t>
    </w:r>
    <w:r>
      <w:fldChar w:fldCharType="end"/>
    </w:r>
  </w:p>
  <w:p w:rsidR="00810047" w:rsidRDefault="00810047">
    <w:pPr>
      <w:pStyle w:val="FusszeileArial7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47" w:rsidRDefault="00F57E73">
      <w:r>
        <w:separator/>
      </w:r>
    </w:p>
  </w:footnote>
  <w:footnote w:type="continuationSeparator" w:id="0">
    <w:p w:rsidR="00810047" w:rsidRDefault="00F5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7" w:rsidRDefault="00F57E7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4807585</wp:posOffset>
          </wp:positionH>
          <wp:positionV relativeFrom="page">
            <wp:posOffset>720090</wp:posOffset>
          </wp:positionV>
          <wp:extent cx="2162175" cy="542925"/>
          <wp:effectExtent l="0" t="0" r="9525" b="9525"/>
          <wp:wrapNone/>
          <wp:docPr id="164" name="Bild 164" descr="GB_Pla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GB_Pla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320675</wp:posOffset>
          </wp:positionV>
          <wp:extent cx="3022600" cy="971550"/>
          <wp:effectExtent l="0" t="0" r="6350" b="0"/>
          <wp:wrapNone/>
          <wp:docPr id="162" name="Bild 162" descr="ush_logo_5-RE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ush_logo_5-RE_graysc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53975</wp:posOffset>
              </wp:positionH>
              <wp:positionV relativeFrom="page">
                <wp:posOffset>5346700</wp:posOffset>
              </wp:positionV>
              <wp:extent cx="161925" cy="0"/>
              <wp:effectExtent l="6350" t="12700" r="12700" b="6350"/>
              <wp:wrapNone/>
              <wp:docPr id="4" name="Lin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h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53975</wp:posOffset>
              </wp:positionH>
              <wp:positionV relativeFrom="page">
                <wp:posOffset>3780790</wp:posOffset>
              </wp:positionV>
              <wp:extent cx="161925" cy="0"/>
              <wp:effectExtent l="6350" t="8890" r="12700" b="10160"/>
              <wp:wrapNone/>
              <wp:docPr id="3" name="Lin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+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7" w:rsidRDefault="00810047">
    <w:pPr>
      <w:pStyle w:val="Bezeichnung"/>
      <w:rPr>
        <w:sz w:val="2"/>
        <w:szCs w:val="2"/>
      </w:rPr>
    </w:pPr>
  </w:p>
  <w:p w:rsidR="00810047" w:rsidRDefault="00810047">
    <w:pPr>
      <w:pStyle w:val="Bezeichnung"/>
      <w:rPr>
        <w:sz w:val="2"/>
        <w:szCs w:val="2"/>
      </w:rPr>
    </w:pPr>
  </w:p>
  <w:p w:rsidR="00810047" w:rsidRDefault="00810047">
    <w:pPr>
      <w:pStyle w:val="Bezeichnung"/>
      <w:rPr>
        <w:sz w:val="2"/>
        <w:szCs w:val="2"/>
      </w:rPr>
    </w:pPr>
  </w:p>
  <w:p w:rsidR="00810047" w:rsidRDefault="00F57E73">
    <w:pPr>
      <w:pStyle w:val="Bezeichnung"/>
      <w:rPr>
        <w:b w:val="0"/>
        <w:sz w:val="28"/>
        <w:szCs w:val="28"/>
        <w:lang w:val="en-GB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4807585</wp:posOffset>
          </wp:positionH>
          <wp:positionV relativeFrom="page">
            <wp:posOffset>720090</wp:posOffset>
          </wp:positionV>
          <wp:extent cx="2162175" cy="542925"/>
          <wp:effectExtent l="0" t="0" r="9525" b="9525"/>
          <wp:wrapNone/>
          <wp:docPr id="163" name="Bild 163" descr="GB_Pla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GB_Pla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320675</wp:posOffset>
          </wp:positionV>
          <wp:extent cx="3022600" cy="971550"/>
          <wp:effectExtent l="0" t="0" r="6350" b="0"/>
          <wp:wrapNone/>
          <wp:docPr id="161" name="Bild 161" descr="ush_logo_5-RE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ush_logo_5-RE_graysc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53975</wp:posOffset>
              </wp:positionH>
              <wp:positionV relativeFrom="page">
                <wp:posOffset>5346700</wp:posOffset>
              </wp:positionV>
              <wp:extent cx="161925" cy="0"/>
              <wp:effectExtent l="6350" t="12700" r="12700" b="6350"/>
              <wp:wrapNone/>
              <wp:docPr id="2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5pt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2g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53975</wp:posOffset>
              </wp:positionH>
              <wp:positionV relativeFrom="page">
                <wp:posOffset>3780790</wp:posOffset>
              </wp:positionV>
              <wp:extent cx="161925" cy="0"/>
              <wp:effectExtent l="6350" t="8890" r="12700" b="10160"/>
              <wp:wrapNone/>
              <wp:docPr id="1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1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2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fGEwIAACk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sz w:val="28"/>
        <w:szCs w:val="28"/>
      </w:rPr>
      <w:t>Bekanntmachung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423"/>
    <w:multiLevelType w:val="multilevel"/>
    <w:tmpl w:val="BD0E39F8"/>
    <w:lvl w:ilvl="0">
      <w:start w:val="1"/>
      <w:numFmt w:val="upperRoman"/>
      <w:pStyle w:val="berschrift1"/>
      <w:lvlText w:val="%1."/>
      <w:lvlJc w:val="left"/>
      <w:pPr>
        <w:tabs>
          <w:tab w:val="num" w:pos="6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B015A49"/>
    <w:multiLevelType w:val="hybridMultilevel"/>
    <w:tmpl w:val="80DAC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3E0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444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CB071E"/>
    <w:multiLevelType w:val="hybridMultilevel"/>
    <w:tmpl w:val="D9762A38"/>
    <w:lvl w:ilvl="0" w:tplc="7F58C6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751A"/>
    <w:multiLevelType w:val="hybridMultilevel"/>
    <w:tmpl w:val="3E7A371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2665807"/>
    <w:multiLevelType w:val="hybridMultilevel"/>
    <w:tmpl w:val="AB464184"/>
    <w:lvl w:ilvl="0" w:tplc="D620457A">
      <w:start w:val="1"/>
      <w:numFmt w:val="bullet"/>
      <w:pStyle w:val="Aufzhlung"/>
      <w:lvlText w:val=""/>
      <w:lvlJc w:val="left"/>
      <w:pPr>
        <w:tabs>
          <w:tab w:val="num" w:pos="1021"/>
        </w:tabs>
        <w:ind w:left="1021" w:hanging="102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E4EE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B6B2DF7"/>
    <w:multiLevelType w:val="hybridMultilevel"/>
    <w:tmpl w:val="F5041A06"/>
    <w:lvl w:ilvl="0" w:tplc="BD4C9C7A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2199B"/>
    <w:multiLevelType w:val="hybridMultilevel"/>
    <w:tmpl w:val="E74261F4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87B3B15"/>
    <w:multiLevelType w:val="hybridMultilevel"/>
    <w:tmpl w:val="B0F2E9F4"/>
    <w:lvl w:ilvl="0" w:tplc="5E22B2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C4E6A"/>
    <w:multiLevelType w:val="multilevel"/>
    <w:tmpl w:val="21DC6A12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5AF3A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425"/>
  <w:drawingGridHorizontalSpacing w:val="113"/>
  <w:drawingGridVerticalSpacing w:val="113"/>
  <w:displayHorizont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47"/>
    <w:rsid w:val="00810047"/>
    <w:rsid w:val="00C43C53"/>
    <w:rsid w:val="00DC1326"/>
    <w:rsid w:val="00F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1021"/>
        <w:tab w:val="left" w:pos="1361"/>
      </w:tabs>
      <w:spacing w:line="240" w:lineRule="exact"/>
    </w:pPr>
    <w:rPr>
      <w:rFonts w:ascii="Arial" w:hAnsi="Arial"/>
    </w:rPr>
  </w:style>
  <w:style w:type="paragraph" w:styleId="berschrift1">
    <w:name w:val="heading 1"/>
    <w:aliases w:val="Aktenvermerk 1"/>
    <w:basedOn w:val="Standard"/>
    <w:next w:val="Standard"/>
    <w:qFormat/>
    <w:pPr>
      <w:keepNext/>
      <w:numPr>
        <w:numId w:val="5"/>
      </w:numPr>
      <w:tabs>
        <w:tab w:val="clear" w:pos="1021"/>
        <w:tab w:val="clear" w:pos="1361"/>
      </w:tabs>
      <w:outlineLvl w:val="0"/>
    </w:pPr>
    <w:rPr>
      <w:b/>
      <w:kern w:val="28"/>
    </w:rPr>
  </w:style>
  <w:style w:type="paragraph" w:styleId="berschrift2">
    <w:name w:val="heading 2"/>
    <w:aliases w:val="Aktemvermerk 2"/>
    <w:basedOn w:val="berschrift1"/>
    <w:next w:val="Standard"/>
    <w:qFormat/>
    <w:pPr>
      <w:outlineLvl w:val="1"/>
    </w:pPr>
  </w:style>
  <w:style w:type="paragraph" w:styleId="berschrift3">
    <w:name w:val="heading 3"/>
    <w:aliases w:val="Aktenvermerk 3"/>
    <w:basedOn w:val="berschrift2"/>
    <w:next w:val="Standard"/>
    <w:qFormat/>
    <w:pPr>
      <w:outlineLvl w:val="2"/>
    </w:p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aliases w:val="Subject"/>
    <w:basedOn w:val="Standard"/>
    <w:pPr>
      <w:spacing w:line="312" w:lineRule="exact"/>
    </w:pPr>
    <w:rPr>
      <w:b/>
      <w:sz w:val="26"/>
    </w:rPr>
  </w:style>
  <w:style w:type="paragraph" w:styleId="Kopfzeile">
    <w:name w:val="header"/>
    <w:aliases w:val="Absender"/>
    <w:basedOn w:val="Standard"/>
    <w:pPr>
      <w:tabs>
        <w:tab w:val="center" w:pos="4536"/>
        <w:tab w:val="right" w:pos="9072"/>
      </w:tabs>
      <w:spacing w:line="168" w:lineRule="exact"/>
    </w:pPr>
    <w:rPr>
      <w:sz w:val="14"/>
      <w:szCs w:val="12"/>
    </w:rPr>
  </w:style>
  <w:style w:type="paragraph" w:styleId="Fuzeile">
    <w:name w:val="footer"/>
    <w:basedOn w:val="Standard"/>
    <w:link w:val="FuzeileZchn"/>
    <w:uiPriority w:val="99"/>
    <w:pPr>
      <w:tabs>
        <w:tab w:val="clear" w:pos="1021"/>
        <w:tab w:val="clear" w:pos="1361"/>
        <w:tab w:val="center" w:pos="4536"/>
        <w:tab w:val="right" w:pos="9072"/>
      </w:tabs>
    </w:pPr>
  </w:style>
  <w:style w:type="paragraph" w:customStyle="1" w:styleId="Aufzhlung">
    <w:name w:val="Aufzählung"/>
    <w:aliases w:val="List"/>
    <w:basedOn w:val="Standard"/>
    <w:pPr>
      <w:numPr>
        <w:numId w:val="1"/>
      </w:numPr>
      <w:tabs>
        <w:tab w:val="clear" w:pos="1021"/>
        <w:tab w:val="clear" w:pos="1361"/>
      </w:tabs>
      <w:ind w:left="680" w:hanging="680"/>
    </w:pPr>
  </w:style>
  <w:style w:type="paragraph" w:customStyle="1" w:styleId="Adresse">
    <w:name w:val="Adresse"/>
    <w:basedOn w:val="Standard"/>
    <w:pPr>
      <w:tabs>
        <w:tab w:val="clear" w:pos="1021"/>
        <w:tab w:val="clear" w:pos="1361"/>
        <w:tab w:val="left" w:pos="113"/>
        <w:tab w:val="left" w:pos="227"/>
        <w:tab w:val="left" w:pos="340"/>
        <w:tab w:val="left" w:pos="454"/>
      </w:tabs>
    </w:pPr>
  </w:style>
  <w:style w:type="table" w:styleId="Tabellenraster">
    <w:name w:val="Table Grid"/>
    <w:aliases w:val="Tablegrid"/>
    <w:basedOn w:val="NormaleTabelle"/>
    <w:pPr>
      <w:tabs>
        <w:tab w:val="left" w:pos="1021"/>
      </w:tabs>
      <w:spacing w:line="255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eichnung">
    <w:name w:val="Bezeichnung"/>
    <w:basedOn w:val="Betreff"/>
    <w:pPr>
      <w:spacing w:before="116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361"/>
        <w:tab w:val="right" w:leader="dot" w:pos="7938"/>
      </w:tabs>
      <w:ind w:left="1021" w:right="1701" w:hanging="1021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1361"/>
        <w:tab w:val="right" w:leader="dot" w:pos="7938"/>
      </w:tabs>
      <w:ind w:left="1021" w:right="1701" w:hanging="1021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361"/>
        <w:tab w:val="right" w:leader="dot" w:pos="7938"/>
      </w:tabs>
      <w:spacing w:before="255"/>
      <w:ind w:left="1021" w:right="1701" w:hanging="1021"/>
    </w:pPr>
    <w:rPr>
      <w:b/>
    </w:rPr>
  </w:style>
  <w:style w:type="paragraph" w:customStyle="1" w:styleId="Seite">
    <w:name w:val="Seite"/>
    <w:aliases w:val="Page"/>
    <w:basedOn w:val="Standard"/>
    <w:pPr>
      <w:spacing w:line="168" w:lineRule="atLeast"/>
      <w:jc w:val="right"/>
    </w:pPr>
    <w:rPr>
      <w:sz w:val="14"/>
    </w:rPr>
  </w:style>
  <w:style w:type="paragraph" w:customStyle="1" w:styleId="Kontakt">
    <w:name w:val="Kontakt"/>
    <w:basedOn w:val="Standard"/>
    <w:pPr>
      <w:tabs>
        <w:tab w:val="clear" w:pos="1021"/>
        <w:tab w:val="clear" w:pos="1361"/>
        <w:tab w:val="left" w:pos="595"/>
      </w:tabs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sz w:val="14"/>
      <w:szCs w:val="14"/>
    </w:rPr>
  </w:style>
  <w:style w:type="paragraph" w:customStyle="1" w:styleId="FusszeileArial7Pt">
    <w:name w:val="Fusszeile (Arial 7 Pt)"/>
    <w:basedOn w:val="Standard"/>
    <w:pPr>
      <w:tabs>
        <w:tab w:val="clear" w:pos="1021"/>
        <w:tab w:val="clear" w:pos="1361"/>
        <w:tab w:val="left" w:pos="1020"/>
      </w:tabs>
      <w:autoSpaceDE w:val="0"/>
      <w:autoSpaceDN w:val="0"/>
      <w:adjustRightInd w:val="0"/>
      <w:spacing w:line="168" w:lineRule="atLeast"/>
      <w:textAlignment w:val="center"/>
    </w:pPr>
    <w:rPr>
      <w:rFonts w:cs="Arial"/>
      <w:color w:val="000000"/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eichnunglinksDatum">
    <w:name w:val="Bezeichnung links (Datum)"/>
    <w:basedOn w:val="Standard"/>
    <w:pPr>
      <w:spacing w:line="260" w:lineRule="atLeast"/>
    </w:pPr>
    <w:rPr>
      <w:b/>
      <w:color w:val="000000"/>
      <w:sz w:val="14"/>
      <w:szCs w:val="14"/>
    </w:rPr>
  </w:style>
  <w:style w:type="paragraph" w:styleId="Textkrper-Einzug2">
    <w:name w:val="Body Text Indent 2"/>
    <w:basedOn w:val="Standard"/>
    <w:link w:val="Textkrper-Einzug2Zchn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Pr>
      <w:rFonts w:ascii="Arial" w:hAnsi="Arial"/>
      <w:sz w:val="16"/>
      <w:szCs w:val="16"/>
    </w:rPr>
  </w:style>
  <w:style w:type="character" w:customStyle="1" w:styleId="berschrift6Zchn">
    <w:name w:val="Überschrift 6 Zchn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uzeileZchn">
    <w:name w:val="Fußzeile Zchn"/>
    <w:link w:val="Fuzeile"/>
    <w:uiPriority w:val="99"/>
    <w:rPr>
      <w:rFonts w:ascii="Arial" w:hAnsi="Arial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1021"/>
        <w:tab w:val="left" w:pos="1361"/>
      </w:tabs>
      <w:spacing w:line="240" w:lineRule="exact"/>
    </w:pPr>
    <w:rPr>
      <w:rFonts w:ascii="Arial" w:hAnsi="Arial"/>
    </w:rPr>
  </w:style>
  <w:style w:type="paragraph" w:styleId="berschrift1">
    <w:name w:val="heading 1"/>
    <w:aliases w:val="Aktenvermerk 1"/>
    <w:basedOn w:val="Standard"/>
    <w:next w:val="Standard"/>
    <w:qFormat/>
    <w:pPr>
      <w:keepNext/>
      <w:numPr>
        <w:numId w:val="5"/>
      </w:numPr>
      <w:tabs>
        <w:tab w:val="clear" w:pos="1021"/>
        <w:tab w:val="clear" w:pos="1361"/>
      </w:tabs>
      <w:outlineLvl w:val="0"/>
    </w:pPr>
    <w:rPr>
      <w:b/>
      <w:kern w:val="28"/>
    </w:rPr>
  </w:style>
  <w:style w:type="paragraph" w:styleId="berschrift2">
    <w:name w:val="heading 2"/>
    <w:aliases w:val="Aktemvermerk 2"/>
    <w:basedOn w:val="berschrift1"/>
    <w:next w:val="Standard"/>
    <w:qFormat/>
    <w:pPr>
      <w:outlineLvl w:val="1"/>
    </w:pPr>
  </w:style>
  <w:style w:type="paragraph" w:styleId="berschrift3">
    <w:name w:val="heading 3"/>
    <w:aliases w:val="Aktenvermerk 3"/>
    <w:basedOn w:val="berschrift2"/>
    <w:next w:val="Standard"/>
    <w:qFormat/>
    <w:pPr>
      <w:outlineLvl w:val="2"/>
    </w:p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aliases w:val="Subject"/>
    <w:basedOn w:val="Standard"/>
    <w:pPr>
      <w:spacing w:line="312" w:lineRule="exact"/>
    </w:pPr>
    <w:rPr>
      <w:b/>
      <w:sz w:val="26"/>
    </w:rPr>
  </w:style>
  <w:style w:type="paragraph" w:styleId="Kopfzeile">
    <w:name w:val="header"/>
    <w:aliases w:val="Absender"/>
    <w:basedOn w:val="Standard"/>
    <w:pPr>
      <w:tabs>
        <w:tab w:val="center" w:pos="4536"/>
        <w:tab w:val="right" w:pos="9072"/>
      </w:tabs>
      <w:spacing w:line="168" w:lineRule="exact"/>
    </w:pPr>
    <w:rPr>
      <w:sz w:val="14"/>
      <w:szCs w:val="12"/>
    </w:rPr>
  </w:style>
  <w:style w:type="paragraph" w:styleId="Fuzeile">
    <w:name w:val="footer"/>
    <w:basedOn w:val="Standard"/>
    <w:link w:val="FuzeileZchn"/>
    <w:uiPriority w:val="99"/>
    <w:pPr>
      <w:tabs>
        <w:tab w:val="clear" w:pos="1021"/>
        <w:tab w:val="clear" w:pos="1361"/>
        <w:tab w:val="center" w:pos="4536"/>
        <w:tab w:val="right" w:pos="9072"/>
      </w:tabs>
    </w:pPr>
  </w:style>
  <w:style w:type="paragraph" w:customStyle="1" w:styleId="Aufzhlung">
    <w:name w:val="Aufzählung"/>
    <w:aliases w:val="List"/>
    <w:basedOn w:val="Standard"/>
    <w:pPr>
      <w:numPr>
        <w:numId w:val="1"/>
      </w:numPr>
      <w:tabs>
        <w:tab w:val="clear" w:pos="1021"/>
        <w:tab w:val="clear" w:pos="1361"/>
      </w:tabs>
      <w:ind w:left="680" w:hanging="680"/>
    </w:pPr>
  </w:style>
  <w:style w:type="paragraph" w:customStyle="1" w:styleId="Adresse">
    <w:name w:val="Adresse"/>
    <w:basedOn w:val="Standard"/>
    <w:pPr>
      <w:tabs>
        <w:tab w:val="clear" w:pos="1021"/>
        <w:tab w:val="clear" w:pos="1361"/>
        <w:tab w:val="left" w:pos="113"/>
        <w:tab w:val="left" w:pos="227"/>
        <w:tab w:val="left" w:pos="340"/>
        <w:tab w:val="left" w:pos="454"/>
      </w:tabs>
    </w:pPr>
  </w:style>
  <w:style w:type="table" w:styleId="Tabellenraster">
    <w:name w:val="Table Grid"/>
    <w:aliases w:val="Tablegrid"/>
    <w:basedOn w:val="NormaleTabelle"/>
    <w:pPr>
      <w:tabs>
        <w:tab w:val="left" w:pos="1021"/>
      </w:tabs>
      <w:spacing w:line="255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eichnung">
    <w:name w:val="Bezeichnung"/>
    <w:basedOn w:val="Betreff"/>
    <w:pPr>
      <w:spacing w:before="116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361"/>
        <w:tab w:val="right" w:leader="dot" w:pos="7938"/>
      </w:tabs>
      <w:ind w:left="1021" w:right="1701" w:hanging="1021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1361"/>
        <w:tab w:val="right" w:leader="dot" w:pos="7938"/>
      </w:tabs>
      <w:ind w:left="1021" w:right="1701" w:hanging="1021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361"/>
        <w:tab w:val="right" w:leader="dot" w:pos="7938"/>
      </w:tabs>
      <w:spacing w:before="255"/>
      <w:ind w:left="1021" w:right="1701" w:hanging="1021"/>
    </w:pPr>
    <w:rPr>
      <w:b/>
    </w:rPr>
  </w:style>
  <w:style w:type="paragraph" w:customStyle="1" w:styleId="Seite">
    <w:name w:val="Seite"/>
    <w:aliases w:val="Page"/>
    <w:basedOn w:val="Standard"/>
    <w:pPr>
      <w:spacing w:line="168" w:lineRule="atLeast"/>
      <w:jc w:val="right"/>
    </w:pPr>
    <w:rPr>
      <w:sz w:val="14"/>
    </w:rPr>
  </w:style>
  <w:style w:type="paragraph" w:customStyle="1" w:styleId="Kontakt">
    <w:name w:val="Kontakt"/>
    <w:basedOn w:val="Standard"/>
    <w:pPr>
      <w:tabs>
        <w:tab w:val="clear" w:pos="1021"/>
        <w:tab w:val="clear" w:pos="1361"/>
        <w:tab w:val="left" w:pos="595"/>
      </w:tabs>
      <w:autoSpaceDE w:val="0"/>
      <w:autoSpaceDN w:val="0"/>
      <w:adjustRightInd w:val="0"/>
      <w:spacing w:line="288" w:lineRule="auto"/>
      <w:textAlignment w:val="center"/>
    </w:pPr>
    <w:rPr>
      <w:rFonts w:cs="Arial"/>
      <w:color w:val="000000"/>
      <w:sz w:val="14"/>
      <w:szCs w:val="14"/>
    </w:rPr>
  </w:style>
  <w:style w:type="paragraph" w:customStyle="1" w:styleId="FusszeileArial7Pt">
    <w:name w:val="Fusszeile (Arial 7 Pt)"/>
    <w:basedOn w:val="Standard"/>
    <w:pPr>
      <w:tabs>
        <w:tab w:val="clear" w:pos="1021"/>
        <w:tab w:val="clear" w:pos="1361"/>
        <w:tab w:val="left" w:pos="1020"/>
      </w:tabs>
      <w:autoSpaceDE w:val="0"/>
      <w:autoSpaceDN w:val="0"/>
      <w:adjustRightInd w:val="0"/>
      <w:spacing w:line="168" w:lineRule="atLeast"/>
      <w:textAlignment w:val="center"/>
    </w:pPr>
    <w:rPr>
      <w:rFonts w:cs="Arial"/>
      <w:color w:val="000000"/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eichnunglinksDatum">
    <w:name w:val="Bezeichnung links (Datum)"/>
    <w:basedOn w:val="Standard"/>
    <w:pPr>
      <w:spacing w:line="260" w:lineRule="atLeast"/>
    </w:pPr>
    <w:rPr>
      <w:b/>
      <w:color w:val="000000"/>
      <w:sz w:val="14"/>
      <w:szCs w:val="14"/>
    </w:rPr>
  </w:style>
  <w:style w:type="paragraph" w:styleId="Textkrper-Einzug2">
    <w:name w:val="Body Text Indent 2"/>
    <w:basedOn w:val="Standard"/>
    <w:link w:val="Textkrper-Einzug2Zchn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Pr>
      <w:rFonts w:ascii="Arial" w:hAnsi="Arial"/>
      <w:sz w:val="16"/>
      <w:szCs w:val="16"/>
    </w:rPr>
  </w:style>
  <w:style w:type="character" w:customStyle="1" w:styleId="berschrift6Zchn">
    <w:name w:val="Überschrift 6 Zchn"/>
    <w:link w:val="berschrift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uzeileZchn">
    <w:name w:val="Fußzeile Zchn"/>
    <w:link w:val="Fuzeile"/>
    <w:uiPriority w:val="99"/>
    <w:rPr>
      <w:rFonts w:ascii="Arial" w:hAnsi="Arial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nterschleissheim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B54B-95EC-4E1E-8764-54974E9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4C20BACE.dotm</Template>
  <TotalTime>0</TotalTime>
  <Pages>3</Pages>
  <Words>700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ush_aktenvermerk</vt:lpstr>
    </vt:vector>
  </TitlesOfParts>
  <Company>GERMAN CENTRE DELHI.GURGAON</Company>
  <LinksUpToDate>false</LinksUpToDate>
  <CharactersWithSpaces>5869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http://www.unterschleissheim.de/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ush_aktenvermerk</dc:title>
  <dc:creator>Holzbauer</dc:creator>
  <cp:lastModifiedBy>Rothe, Lisa</cp:lastModifiedBy>
  <cp:revision>4</cp:revision>
  <cp:lastPrinted>2018-05-16T08:47:00Z</cp:lastPrinted>
  <dcterms:created xsi:type="dcterms:W3CDTF">2019-08-27T13:16:00Z</dcterms:created>
  <dcterms:modified xsi:type="dcterms:W3CDTF">2019-09-03T08:24:00Z</dcterms:modified>
</cp:coreProperties>
</file>